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2340" w:val="left"/>
        </w:tabs>
        <w:ind w:firstLine="0" w:left="709"/>
        <w:jc w:val="both"/>
      </w:pPr>
    </w:p>
    <w:p w14:paraId="04000000">
      <w:pPr>
        <w:tabs>
          <w:tab w:leader="none" w:pos="2340" w:val="left"/>
        </w:tabs>
        <w:ind w:firstLine="0" w:left="-708"/>
        <w:jc w:val="both"/>
      </w:pPr>
    </w:p>
    <w:p w14:paraId="05000000">
      <w:pPr>
        <w:tabs>
          <w:tab w:leader="none" w:pos="2340" w:val="left"/>
        </w:tabs>
        <w:ind w:firstLine="0" w:left="709"/>
        <w:jc w:val="center"/>
      </w:pPr>
      <w:r>
        <w:t>Уважаемые заявители!</w:t>
      </w:r>
    </w:p>
    <w:p w14:paraId="06000000">
      <w:pPr>
        <w:tabs>
          <w:tab w:leader="none" w:pos="2340" w:val="left"/>
        </w:tabs>
        <w:ind w:firstLine="0" w:left="709"/>
        <w:jc w:val="both"/>
      </w:pPr>
    </w:p>
    <w:p w14:paraId="07000000">
      <w:pPr>
        <w:ind w:firstLine="720"/>
        <w:contextualSpacing w:val="1"/>
        <w:jc w:val="both"/>
      </w:pPr>
      <w:r>
        <w:t>Федеральны</w:t>
      </w:r>
      <w:r>
        <w:t>м</w:t>
      </w:r>
      <w:r>
        <w:t xml:space="preserve"> закон</w:t>
      </w:r>
      <w:r>
        <w:t>ом</w:t>
      </w:r>
      <w:r>
        <w:t xml:space="preserve"> от 03.07.2016 </w:t>
      </w:r>
      <w:r>
        <w:t>№</w:t>
      </w:r>
      <w:r>
        <w:t xml:space="preserve"> 367-ФЗ </w:t>
      </w:r>
      <w:r>
        <w:t>«</w:t>
      </w:r>
      <w:r>
        <w:t>О внесении изменений</w:t>
      </w:r>
      <w:r>
        <w:br/>
      </w:r>
      <w:r>
        <w:t xml:space="preserve">в Кодекс внутреннего водного транспорта Российской Федерации и Федеральный закон </w:t>
      </w:r>
      <w:r>
        <w:t>«</w:t>
      </w:r>
      <w:r>
        <w:t>О приватизации государственного и муниципального имущества</w:t>
      </w:r>
      <w:r>
        <w:t xml:space="preserve">» (далее – Федеральный закон) Кодекс внутреннего водного транспорта Российской Федерации (далее – КВВТ) </w:t>
      </w:r>
      <w:r>
        <w:t xml:space="preserve">был </w:t>
      </w:r>
      <w:r>
        <w:t>дополнен нормами, касающимися плавучих объектов.</w:t>
      </w:r>
    </w:p>
    <w:p w14:paraId="08000000">
      <w:pPr>
        <w:ind w:firstLine="720"/>
        <w:contextualSpacing w:val="1"/>
        <w:jc w:val="both"/>
      </w:pPr>
      <w:r>
        <w:t xml:space="preserve">В частности, Федеральным законом введено понятие «плавучий объект», под которым понимается </w:t>
      </w:r>
      <w:r>
        <w:t>несамоходное плавучее сооружение, не являющееся судном, в том числе дебаркадер, плавучий (находящийся на воде) дом, гостиница, ресторан, понтон, плот, наплавной мост, плавучий причал, и другое техническое сооружение подобного рода</w:t>
      </w:r>
      <w:r>
        <w:t>.</w:t>
      </w:r>
    </w:p>
    <w:p w14:paraId="09000000">
      <w:pPr>
        <w:ind w:firstLine="720"/>
        <w:contextualSpacing w:val="1"/>
        <w:jc w:val="both"/>
      </w:pPr>
      <w:r>
        <w:t xml:space="preserve">С 19.02.2022 вступило в силу Положение </w:t>
      </w:r>
      <w:r>
        <w:t>Государственной инспекции</w:t>
      </w:r>
      <w:r>
        <w:br/>
      </w:r>
      <w:r>
        <w:t>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, утвержденное постановлением Правительства Российской </w:t>
      </w:r>
      <w:r>
        <w:t xml:space="preserve">Федерации </w:t>
      </w:r>
      <w:r>
        <w:t xml:space="preserve">от 08.02.2022 </w:t>
      </w:r>
      <w:r>
        <w:t>№</w:t>
      </w:r>
      <w:r>
        <w:t xml:space="preserve"> 132</w:t>
      </w:r>
      <w:r>
        <w:t xml:space="preserve">, </w:t>
      </w:r>
      <w:r>
        <w:t xml:space="preserve">согласно </w:t>
      </w:r>
      <w:r>
        <w:t>котор</w:t>
      </w:r>
      <w:r>
        <w:t>о</w:t>
      </w:r>
      <w:r>
        <w:t>м</w:t>
      </w:r>
      <w:r>
        <w:t>у</w:t>
      </w:r>
      <w:r>
        <w:t xml:space="preserve"> </w:t>
      </w:r>
      <w:r>
        <w:t>плавучие объекты</w:t>
      </w:r>
      <w:r>
        <w:br/>
      </w:r>
      <w:r>
        <w:t xml:space="preserve">не поднадзорны </w:t>
      </w:r>
      <w:r>
        <w:t>Государственн</w:t>
      </w:r>
      <w:r>
        <w:t>ой</w:t>
      </w:r>
      <w:r>
        <w:t xml:space="preserve"> инспекци</w:t>
      </w:r>
      <w:r>
        <w:t>и по маломерным судам МЧС России.</w:t>
      </w:r>
    </w:p>
    <w:p w14:paraId="0A000000">
      <w:pPr>
        <w:ind w:firstLine="720"/>
        <w:contextualSpacing w:val="1"/>
        <w:jc w:val="both"/>
      </w:pPr>
      <w:r>
        <w:t xml:space="preserve">В этой связи </w:t>
      </w:r>
      <w:r>
        <w:t>плавучие объекты</w:t>
      </w:r>
      <w:r>
        <w:t xml:space="preserve">, ранее зарегистрированные </w:t>
      </w:r>
      <w:r>
        <w:t>Государственной инспекци</w:t>
      </w:r>
      <w:r>
        <w:t>ей</w:t>
      </w:r>
      <w:r>
        <w:t xml:space="preserve"> по маломерным судам МЧС России</w:t>
      </w:r>
      <w:r>
        <w:t>, в настоящее время подлежат исключе</w:t>
      </w:r>
      <w:r>
        <w:t>нию из реестра маломерных судов на основании заявления собственника плавучего объекта.</w:t>
      </w:r>
    </w:p>
    <w:p w14:paraId="0B000000">
      <w:pPr>
        <w:ind w:firstLine="720"/>
        <w:contextualSpacing w:val="1"/>
        <w:jc w:val="both"/>
      </w:pPr>
      <w:r>
        <w:t xml:space="preserve">В целях исключения плавучего объекта собственнику необходимо обратиться в подразделения Центра ГИМС Главного управления </w:t>
      </w:r>
      <w:r>
        <w:t>МЧС России по Саратовской области.</w:t>
      </w:r>
    </w:p>
    <w:sectPr>
      <w:headerReference r:id="rId1" w:type="default"/>
      <w:pgSz w:h="16838" w:w="11906"/>
      <w:pgMar w:bottom="1134" w:footer="0" w:gutter="0" w:header="0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Знак Знак Знак Знак Знак Знак Знак Знак Знак Знак Знак Знак Знак Знак Знак Знак Знак Знак Знак"/>
    <w:basedOn w:val="Style_2"/>
    <w:link w:val="Style_8_ch"/>
    <w:pPr>
      <w:widowControl w:val="0"/>
      <w:spacing w:after="160" w:line="240" w:lineRule="exact"/>
      <w:ind/>
      <w:jc w:val="right"/>
    </w:pPr>
    <w:rPr>
      <w:sz w:val="20"/>
    </w:rPr>
  </w:style>
  <w:style w:styleId="Style_8_ch" w:type="character">
    <w:name w:val="Знак Знак Знак Знак Знак Знак Знак Знак Знак Знак Знак Знак Знак Знак Знак Знак Знак Знак Знак"/>
    <w:basedOn w:val="Style_2_ch"/>
    <w:link w:val="Style_8"/>
    <w:rPr>
      <w:sz w:val="20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next w:val="Style_2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Placeholder Text"/>
    <w:basedOn w:val="Style_3"/>
    <w:link w:val="Style_11_ch"/>
    <w:rPr>
      <w:color w:val="808080"/>
    </w:rPr>
  </w:style>
  <w:style w:styleId="Style_11_ch" w:type="character">
    <w:name w:val="Placeholder Text"/>
    <w:basedOn w:val="Style_3_ch"/>
    <w:link w:val="Style_11"/>
    <w:rPr>
      <w:color w:val="808080"/>
    </w:rPr>
  </w:style>
  <w:style w:styleId="Style_12" w:type="paragraph">
    <w:name w:val="Текст выноски Знак"/>
    <w:basedOn w:val="Style_3"/>
    <w:link w:val="Style_12_ch"/>
    <w:rPr>
      <w:rFonts w:ascii="Tahoma" w:hAnsi="Tahoma"/>
      <w:sz w:val="16"/>
    </w:rPr>
  </w:style>
  <w:style w:styleId="Style_12_ch" w:type="character">
    <w:name w:val="Текст выноски Знак"/>
    <w:basedOn w:val="Style_3_ch"/>
    <w:link w:val="Style_12"/>
    <w:rPr>
      <w:rFonts w:ascii="Tahoma" w:hAnsi="Tahoma"/>
      <w:sz w:val="16"/>
    </w:rPr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caption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2_ch"/>
    <w:link w:val="Style_14"/>
    <w:rPr>
      <w:i w:val="1"/>
      <w:sz w:val="24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Заголовок1"/>
    <w:basedOn w:val="Style_2"/>
    <w:next w:val="Style_17"/>
    <w:link w:val="Style_16_ch"/>
    <w:pPr>
      <w:keepNext w:val="1"/>
      <w:spacing w:after="120" w:before="240"/>
      <w:ind/>
    </w:pPr>
    <w:rPr>
      <w:rFonts w:ascii="Liberation Sans" w:hAnsi="Liberation Sans"/>
    </w:rPr>
  </w:style>
  <w:style w:styleId="Style_16_ch" w:type="character">
    <w:name w:val="Заголовок1"/>
    <w:basedOn w:val="Style_2_ch"/>
    <w:link w:val="Style_16"/>
    <w:rPr>
      <w:rFonts w:ascii="Liberation Sans" w:hAnsi="Liberation Sans"/>
    </w:rPr>
  </w:style>
  <w:style w:styleId="Style_17" w:type="paragraph">
    <w:name w:val="Body Text"/>
    <w:basedOn w:val="Style_2"/>
    <w:link w:val="Style_17_ch"/>
    <w:pPr>
      <w:spacing w:after="140" w:line="276" w:lineRule="auto"/>
      <w:ind/>
    </w:pPr>
  </w:style>
  <w:style w:styleId="Style_17_ch" w:type="character">
    <w:name w:val="Body Text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List"/>
    <w:basedOn w:val="Style_17"/>
    <w:link w:val="Style_19_ch"/>
  </w:style>
  <w:style w:styleId="Style_19_ch" w:type="character">
    <w:name w:val="List"/>
    <w:basedOn w:val="Style_17_ch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3"/>
    <w:link w:val="Style_22_ch"/>
    <w:rPr>
      <w:color w:themeColor="hyperlink" w:val="0000FF"/>
      <w:u w:val="single"/>
    </w:rPr>
  </w:style>
  <w:style w:styleId="Style_22_ch" w:type="character">
    <w:name w:val="Hyperlink"/>
    <w:basedOn w:val="Style_3_ch"/>
    <w:link w:val="Style_22"/>
    <w:rPr>
      <w:color w:themeColor="hyperlink"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Знак Знак Знак Знак Знак Знак Знак Знак Знак Знак Знак Знак Знак Знак Знак Знак Знак Знак Знак"/>
    <w:basedOn w:val="Style_2"/>
    <w:link w:val="Style_25_ch"/>
    <w:pPr>
      <w:widowControl w:val="0"/>
      <w:spacing w:after="160" w:line="240" w:lineRule="exact"/>
      <w:ind/>
      <w:jc w:val="right"/>
    </w:pPr>
    <w:rPr>
      <w:sz w:val="20"/>
    </w:rPr>
  </w:style>
  <w:style w:styleId="Style_25_ch" w:type="character">
    <w:name w:val="Знак Знак Знак Знак Знак Знак Знак Знак Знак Знак Знак Знак Знак Знак Знак Знак Знак Знак Знак"/>
    <w:basedOn w:val="Style_2_ch"/>
    <w:link w:val="Style_25"/>
    <w:rPr>
      <w:sz w:val="20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2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2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2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2022-10-26T06:13:45Z</dcterms:modified>
</cp:coreProperties>
</file>