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tabs>
          <w:tab w:val="clear" w:pos="708"/>
          <w:tab w:val="left" w:pos="567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Вопрос:</w:t>
      </w:r>
      <w:r>
        <w:rPr>
          <w:rFonts w:cs="Times New Roman" w:ascii="Times New Roman" w:hAnsi="Times New Roman"/>
          <w:sz w:val="28"/>
          <w:szCs w:val="28"/>
        </w:rPr>
        <w:t xml:space="preserve"> Какими нормативными документами и нормативными правовыми актами по пожарной безопасности регламентированы требования                          к противопожарным расстояниям между жилыми и общественными зданиями?</w:t>
      </w:r>
    </w:p>
    <w:p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>Ответ:</w:t>
      </w:r>
      <w:r>
        <w:rPr>
          <w:rFonts w:cs="Times New Roman" w:ascii="Times New Roman" w:hAnsi="Times New Roman"/>
          <w:sz w:val="28"/>
          <w:szCs w:val="28"/>
        </w:rPr>
        <w:t xml:space="preserve"> ч. 4 ст. 4, ст. 69 Технического регламента о требованиях пожарной безопасности и табл. 1 СП 4.13130.2013. В соответствии с требованиями Федерального закона «О пожарной безопасности» и Градостроительного Кодекса Российской Федерации, </w:t>
      </w:r>
      <w:r>
        <w:rPr>
          <w:rFonts w:cs="Times New Roman" w:ascii="Times New Roman" w:hAnsi="Times New Roman"/>
          <w:sz w:val="28"/>
          <w:szCs w:val="28"/>
          <w:u w:val="none"/>
        </w:rPr>
        <w:t>регулирование вопросов соблюдения противопожарных расстояний между жилыми домами (ИЖС) относится к полномочия органов местного самоуправления.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67"/>
        <w:jc w:val="lef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Вопрос: </w:t>
      </w:r>
      <w:r>
        <w:rPr>
          <w:rFonts w:cs="Times New Roman" w:ascii="Times New Roman" w:hAnsi="Times New Roman"/>
          <w:b w:val="false"/>
          <w:sz w:val="28"/>
          <w:szCs w:val="28"/>
        </w:rPr>
        <w:t>На какое расстояние должен быть обеспечен подъезд пожарной техники к зданиям индивидуальных жилых домов?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67"/>
        <w:jc w:val="both"/>
        <w:rPr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Ответ: </w:t>
      </w:r>
      <w:r>
        <w:rPr>
          <w:rFonts w:cs="Times New Roman" w:ascii="Times New Roman" w:hAnsi="Times New Roman"/>
          <w:b w:val="false"/>
          <w:sz w:val="28"/>
          <w:szCs w:val="28"/>
          <w:u w:val="none"/>
        </w:rPr>
        <w:t>В соответствии с п.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 8.1.15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планировочные решения малоэтажной жилой застройки домами класса функциональной пожарной опасности Ф1.4 (до 3 этажей включительно),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м.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Вопрос:</w:t>
      </w:r>
      <w:r>
        <w:rPr>
          <w:rFonts w:cs="Times New Roman" w:ascii="Times New Roman" w:hAnsi="Times New Roman"/>
          <w:sz w:val="28"/>
          <w:szCs w:val="28"/>
        </w:rPr>
        <w:t xml:space="preserve">  Допускается ли устройство кладовых в подъездах многоквартирных жилых домов?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sectPr>
          <w:headerReference w:type="default" r:id="rId2"/>
          <w:type w:val="nextPage"/>
          <w:pgSz w:w="11906" w:h="16838"/>
          <w:pgMar w:left="1701" w:right="845" w:header="1134" w:top="1861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Ответ: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подпунктом «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к» п. 19 Правил противопожарного о режима в Российской Федерации, утвержденных постановлением Правительства РФ от  16.09.2020 (далее — Правила противопожарного режима в РФ), запрещается устраивать в лестничных клетках кладовые и другие подсобные помещения, а также хранить под лестничными маршами и площадками вещи, мебель, оборудование и другие предметы, выполненные из горючих материалов.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Данный запрет введен в связи с тем, что в случае возникновения возгорания чего-либо в объеме лестничной клетки дым по законам физики поднимется вверх, заполнит весь подъезд, сделает невозможной эвакуацию жителей вышележащих этажей.  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Вопрос: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В каком случае разрешается жарить шашлыки в мангале на природе и на придомовой территории.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Ответ: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В соответствии с п. 5 приложения 4 к Правил противопожарного о режима в РФ, п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должно составлять не менее 5 метров, а зона очистки вокруг емкости от горючих материалов - до 2 метров.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соответствии с подпунктом «г» п. 2 приложения 4 к Правилам противопожарного режима в РФ,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Кроме того, в соответствии с п. 9 приложения 4 к Правилам противопожарного о режима в РФ, использование открытого огня (в том числе жарка шашлыков в мангалах) запрещается: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на торфяных почвах;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 установлении на соответствующей территории особого противопожарного режима (на территории г. Саратова, а также населенных пунктов области, непосредственно прилегающих к лесным массивам, как правило, устанавливается на период с апреля по октябрь, информация об издании соответствующих распорядительных документов органов местного самоуправления размещается на их официальных сайтах);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под кронами деревьев хвойных пород;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 </w:t>
      </w:r>
    </w:p>
    <w:p>
      <w:pPr>
        <w:pStyle w:val="ListParagraph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 скорости ветра, превышающей значение 10 метров в секунду.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Вопрос: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каком случае можно сжигать листья, мусор, сухую траву на территориях населенных пунктов, частных домовладений, садовых участков?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b/>
          <w:b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Ответ: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соответствии с п. 2 приложения 4 к  Правилам противопожарного о режима в РФ, использование открытого огня (в том числе сжигание мусора) должно осуществляться в специально оборудованных местах при выполнении следующих требований: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624"/>
        <w:contextualSpacing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Кроме того, в соответствии с п. 9 приложения 4 к Правилам противопожарного о режима в РФ, использование открытого огня (в том числе жарка шашлыков в мангалах) запрещается: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на торфяных почвах;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 установлении на соответствующей территории особого противопожарного режима (на территории г. Саратова, а также населенных пунктов области, непосредственно прилегающих к лесным массивам, как правило, устанавливается на период с апреля по октябрь, информация об издании соответствующих распорядительных документов органов местного самоуправления размещается на их официальных сайтах);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под кронами деревьев хвойных пород;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 скорости ветра, превышающей значение 10 метров в секунду.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Вопрос: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Можно ли устанавливать ворота, шлагбаумы и т. п. На въезде на придомовую территорию многоквартирных жилых домов?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Ответ: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В соответствии с  71 Правил противопожарного режима в РФ 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водоснабжения.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Система противопожарной защиты в случае пожара должна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(или) аудиосвязи с местом их установки.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Таким образом, установка ворот, шлагбаумов на въезде на придомовую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территорию многоквартирных жилых домов возможна при выполнении условий, установленных Правилами противопожарного режима в РФ.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0" w:firstLine="54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Вопрос: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Требуется ли индивидуальная защита граждан при пожаре?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</w:t>
      </w:r>
      <w:r>
        <w:rPr>
          <w:rFonts w:cs="Times New Roman" w:ascii="Times New Roman" w:hAnsi="Times New Roman"/>
          <w:sz w:val="28"/>
          <w:szCs w:val="28"/>
        </w:rPr>
        <w:t>: Статья 123 Федерального закона от 22.07.2008 года № 123-ФЗ «Технический регламент о требованиях пожарной безопасности» область применения, функциональное назначение и технические характеристики средств индивидуальной защиты и спасения граждан при пожаре (до принятия соответствующего технического регламента) определяются нормативными документами по пожарной безопасности.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sectPr>
      <w:headerReference w:type="default" r:id="rId3"/>
      <w:type w:val="nextPage"/>
      <w:pgSz w:w="11906" w:h="16838"/>
      <w:pgMar w:left="1701" w:right="845" w:header="1134" w:top="260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160"/>
      <w:jc w:val="center"/>
      <w:rPr>
        <w:color w:val="FFFFFF"/>
        <w:highlight w:val="white"/>
      </w:rPr>
    </w:pPr>
    <w:r>
      <w:rPr>
        <w:color w:val="FFFFFF"/>
        <w:highlight w:val="white"/>
      </w:rPr>
      <w:fldChar w:fldCharType="begin"/>
    </w:r>
    <w:r>
      <w:rPr>
        <w:highlight w:val="white"/>
        <w:color w:val="FFFFFF"/>
      </w:rPr>
      <w:instrText> PAGE </w:instrText>
    </w:r>
    <w:r>
      <w:rPr>
        <w:highlight w:val="white"/>
        <w:color w:val="FFFFFF"/>
      </w:rPr>
      <w:fldChar w:fldCharType="separate"/>
    </w:r>
    <w:r>
      <w:rPr>
        <w:highlight w:val="white"/>
        <w:color w:val="FFFFFF"/>
      </w:rPr>
      <w:t>1</w:t>
    </w:r>
    <w:r>
      <w:rPr>
        <w:highlight w:val="white"/>
        <w:color w:val="FFFFFF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160"/>
      <w:jc w:val="center"/>
      <w:rPr>
        <w:highlight w:val="white"/>
      </w:rPr>
    </w:pPr>
    <w:r>
      <w:rPr>
        <w:highlight w:val="white"/>
      </w:rPr>
      <w:fldChar w:fldCharType="begin"/>
    </w:r>
    <w:r>
      <w:rPr>
        <w:highlight w:val="white"/>
      </w:rPr>
      <w:instrText> PAGE </w:instrText>
    </w:r>
    <w:r>
      <w:rPr>
        <w:highlight w:val="white"/>
      </w:rPr>
      <w:fldChar w:fldCharType="separate"/>
    </w:r>
    <w:r>
      <w:rPr>
        <w:highlight w:val="white"/>
      </w:rPr>
      <w:t>5</w:t>
    </w:r>
    <w:r>
      <w:rPr>
        <w:highlight w:val="white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1e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a411e7"/>
    <w:pPr>
      <w:spacing w:before="0" w:after="16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680" w:leader="none"/>
        <w:tab w:val="right" w:pos="9360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Application>LibreOffice/6.4.7.2$Linux_X86_64 LibreOffice_project/40$Build-2</Application>
  <Pages>5</Pages>
  <Words>1226</Words>
  <Characters>8354</Characters>
  <CharactersWithSpaces>9604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2023-05-02T13:41:00Z</dcterms:created>
  <dc:creator>Щербакова А.В.</dc:creator>
  <dc:description/>
  <dc:language>ru-RU</dc:language>
  <cp:lastModifiedBy/>
  <cp:lastPrinted>2023-08-07T12:26:37Z</cp:lastPrinted>
  <dcterms:modified xsi:type="dcterms:W3CDTF">2023-08-16T10:59:09Z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